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BFF" w:rsidRDefault="003F7BFF" w:rsidP="003F7BFF">
      <w:pPr>
        <w:rPr>
          <w:sz w:val="28"/>
          <w:szCs w:val="28"/>
        </w:rPr>
      </w:pPr>
      <w:r w:rsidRPr="00210BC7">
        <w:rPr>
          <w:sz w:val="28"/>
          <w:szCs w:val="28"/>
        </w:rPr>
        <w:t>Third Sector Partnership Action Plan</w:t>
      </w:r>
    </w:p>
    <w:p w:rsidR="00466057" w:rsidRDefault="00466057"/>
    <w:tbl>
      <w:tblPr>
        <w:tblStyle w:val="TableGrid"/>
        <w:tblpPr w:leftFromText="180" w:rightFromText="180" w:vertAnchor="page" w:horzAnchor="margin" w:tblpY="2482"/>
        <w:tblW w:w="0" w:type="auto"/>
        <w:tblLook w:val="04A0" w:firstRow="1" w:lastRow="0" w:firstColumn="1" w:lastColumn="0" w:noHBand="0" w:noVBand="1"/>
      </w:tblPr>
      <w:tblGrid>
        <w:gridCol w:w="3823"/>
        <w:gridCol w:w="4252"/>
        <w:gridCol w:w="3402"/>
        <w:gridCol w:w="2410"/>
      </w:tblGrid>
      <w:tr w:rsidR="00466057" w:rsidTr="003B253F">
        <w:tc>
          <w:tcPr>
            <w:tcW w:w="13887" w:type="dxa"/>
            <w:gridSpan w:val="4"/>
            <w:shd w:val="clear" w:color="auto" w:fill="7030A0"/>
          </w:tcPr>
          <w:p w:rsidR="00466057" w:rsidRPr="003B253F" w:rsidRDefault="00466057" w:rsidP="00466057">
            <w:pPr>
              <w:rPr>
                <w:color w:val="FFFFFF" w:themeColor="background1"/>
              </w:rPr>
            </w:pPr>
          </w:p>
          <w:p w:rsidR="003B253F" w:rsidRPr="003B253F" w:rsidRDefault="003B253F" w:rsidP="00466057">
            <w:pPr>
              <w:rPr>
                <w:b/>
                <w:color w:val="FFFFFF" w:themeColor="background1"/>
                <w:sz w:val="28"/>
                <w:szCs w:val="28"/>
              </w:rPr>
            </w:pPr>
            <w:r>
              <w:rPr>
                <w:b/>
                <w:color w:val="FFFFFF" w:themeColor="background1"/>
                <w:sz w:val="28"/>
                <w:szCs w:val="28"/>
              </w:rPr>
              <w:t xml:space="preserve">Priority 1 </w:t>
            </w:r>
            <w:r w:rsidR="00D763B8">
              <w:rPr>
                <w:b/>
                <w:color w:val="FFFFFF" w:themeColor="background1"/>
                <w:sz w:val="28"/>
                <w:szCs w:val="28"/>
              </w:rPr>
              <w:t>–</w:t>
            </w:r>
            <w:r>
              <w:rPr>
                <w:b/>
                <w:color w:val="FFFFFF" w:themeColor="background1"/>
                <w:sz w:val="28"/>
                <w:szCs w:val="28"/>
              </w:rPr>
              <w:t xml:space="preserve"> </w:t>
            </w:r>
            <w:r w:rsidR="00D763B8">
              <w:rPr>
                <w:b/>
                <w:color w:val="FFFFFF" w:themeColor="background1"/>
                <w:sz w:val="28"/>
                <w:szCs w:val="28"/>
              </w:rPr>
              <w:t xml:space="preserve">Stronger </w:t>
            </w:r>
            <w:r w:rsidR="00466057" w:rsidRPr="003B253F">
              <w:rPr>
                <w:b/>
                <w:color w:val="FFFFFF" w:themeColor="background1"/>
                <w:sz w:val="28"/>
                <w:szCs w:val="28"/>
              </w:rPr>
              <w:t>Relationships</w:t>
            </w:r>
          </w:p>
          <w:p w:rsidR="00466057" w:rsidRPr="003B253F" w:rsidRDefault="003B253F" w:rsidP="00466057">
            <w:pPr>
              <w:rPr>
                <w:color w:val="FFFFFF" w:themeColor="background1"/>
                <w:sz w:val="28"/>
                <w:szCs w:val="28"/>
              </w:rPr>
            </w:pPr>
            <w:r>
              <w:rPr>
                <w:color w:val="FFFFFF" w:themeColor="background1"/>
                <w:sz w:val="28"/>
                <w:szCs w:val="28"/>
              </w:rPr>
              <w:t>R</w:t>
            </w:r>
            <w:r w:rsidR="00466057" w:rsidRPr="003B253F">
              <w:rPr>
                <w:color w:val="FFFFFF" w:themeColor="background1"/>
                <w:sz w:val="28"/>
                <w:szCs w:val="28"/>
              </w:rPr>
              <w:t xml:space="preserve">ecognition, respect and trust will underpin the relationship between the </w:t>
            </w:r>
            <w:r w:rsidR="0031234B">
              <w:rPr>
                <w:color w:val="FFFFFF" w:themeColor="background1"/>
                <w:sz w:val="28"/>
                <w:szCs w:val="28"/>
              </w:rPr>
              <w:t>VCS</w:t>
            </w:r>
            <w:r w:rsidR="00466057" w:rsidRPr="003B253F">
              <w:rPr>
                <w:color w:val="FFFFFF" w:themeColor="background1"/>
                <w:sz w:val="28"/>
                <w:szCs w:val="28"/>
              </w:rPr>
              <w:t xml:space="preserve"> Partnership and CWC</w:t>
            </w:r>
            <w:r w:rsidR="00D763B8">
              <w:rPr>
                <w:color w:val="FFFFFF" w:themeColor="background1"/>
                <w:sz w:val="28"/>
                <w:szCs w:val="28"/>
              </w:rPr>
              <w:t xml:space="preserve">, creating a culture of mutual respect and awareness of each other. </w:t>
            </w:r>
          </w:p>
          <w:p w:rsidR="00466057" w:rsidRPr="003B253F" w:rsidRDefault="00466057" w:rsidP="00466057">
            <w:pPr>
              <w:rPr>
                <w:color w:val="FFFFFF" w:themeColor="background1"/>
                <w:sz w:val="28"/>
                <w:szCs w:val="28"/>
              </w:rPr>
            </w:pPr>
          </w:p>
        </w:tc>
      </w:tr>
      <w:tr w:rsidR="00210BC7" w:rsidTr="003B253F">
        <w:tc>
          <w:tcPr>
            <w:tcW w:w="3823" w:type="dxa"/>
            <w:shd w:val="clear" w:color="auto" w:fill="E4D2F2"/>
          </w:tcPr>
          <w:p w:rsidR="00210BC7" w:rsidRPr="003B253F" w:rsidRDefault="00210BC7" w:rsidP="00466057">
            <w:pPr>
              <w:rPr>
                <w:b/>
                <w:sz w:val="28"/>
                <w:szCs w:val="28"/>
              </w:rPr>
            </w:pPr>
            <w:r w:rsidRPr="003B253F">
              <w:rPr>
                <w:b/>
                <w:sz w:val="28"/>
                <w:szCs w:val="28"/>
              </w:rPr>
              <w:t>Issue</w:t>
            </w:r>
            <w:r w:rsidR="00AC76D9">
              <w:rPr>
                <w:b/>
                <w:sz w:val="28"/>
                <w:szCs w:val="28"/>
              </w:rPr>
              <w:t xml:space="preserve"> – You said</w:t>
            </w:r>
          </w:p>
          <w:p w:rsidR="00210BC7" w:rsidRPr="003B253F" w:rsidRDefault="00210BC7" w:rsidP="00466057">
            <w:pPr>
              <w:rPr>
                <w:b/>
                <w:sz w:val="28"/>
                <w:szCs w:val="28"/>
              </w:rPr>
            </w:pPr>
          </w:p>
        </w:tc>
        <w:tc>
          <w:tcPr>
            <w:tcW w:w="4252" w:type="dxa"/>
            <w:shd w:val="clear" w:color="auto" w:fill="E4D2F2"/>
          </w:tcPr>
          <w:p w:rsidR="00210BC7" w:rsidRPr="003B253F" w:rsidRDefault="00210BC7" w:rsidP="00466057">
            <w:pPr>
              <w:rPr>
                <w:b/>
                <w:sz w:val="28"/>
                <w:szCs w:val="28"/>
              </w:rPr>
            </w:pPr>
            <w:r w:rsidRPr="003B253F">
              <w:rPr>
                <w:b/>
                <w:sz w:val="28"/>
                <w:szCs w:val="28"/>
              </w:rPr>
              <w:t>Action</w:t>
            </w:r>
          </w:p>
        </w:tc>
        <w:tc>
          <w:tcPr>
            <w:tcW w:w="3402" w:type="dxa"/>
            <w:shd w:val="clear" w:color="auto" w:fill="E4D2F2"/>
          </w:tcPr>
          <w:p w:rsidR="00210BC7" w:rsidRPr="003B253F" w:rsidRDefault="00210BC7" w:rsidP="00466057">
            <w:pPr>
              <w:rPr>
                <w:b/>
                <w:sz w:val="28"/>
                <w:szCs w:val="28"/>
              </w:rPr>
            </w:pPr>
            <w:r w:rsidRPr="003B253F">
              <w:rPr>
                <w:b/>
                <w:sz w:val="28"/>
                <w:szCs w:val="28"/>
              </w:rPr>
              <w:t>Who is responsible</w:t>
            </w:r>
          </w:p>
        </w:tc>
        <w:tc>
          <w:tcPr>
            <w:tcW w:w="2410" w:type="dxa"/>
            <w:shd w:val="clear" w:color="auto" w:fill="E4D2F2"/>
          </w:tcPr>
          <w:p w:rsidR="00210BC7" w:rsidRPr="003B253F" w:rsidRDefault="00210BC7" w:rsidP="00466057">
            <w:pPr>
              <w:rPr>
                <w:b/>
                <w:sz w:val="28"/>
                <w:szCs w:val="28"/>
              </w:rPr>
            </w:pPr>
            <w:r w:rsidRPr="003B253F">
              <w:rPr>
                <w:b/>
                <w:sz w:val="28"/>
                <w:szCs w:val="28"/>
              </w:rPr>
              <w:t>Progress</w:t>
            </w:r>
          </w:p>
        </w:tc>
      </w:tr>
      <w:tr w:rsidR="00210BC7" w:rsidTr="004211B7">
        <w:tc>
          <w:tcPr>
            <w:tcW w:w="3823" w:type="dxa"/>
            <w:vMerge w:val="restart"/>
          </w:tcPr>
          <w:p w:rsidR="00210BC7" w:rsidRDefault="00466057" w:rsidP="00466057">
            <w:r>
              <w:t xml:space="preserve">There is a need to build relationships between the partnership and CWC to ensure there is transparency, better engagement, </w:t>
            </w:r>
            <w:r w:rsidR="000E15D7">
              <w:t xml:space="preserve">acknowledgment of the value of the sector, respect and trust. </w:t>
            </w:r>
          </w:p>
        </w:tc>
        <w:tc>
          <w:tcPr>
            <w:tcW w:w="4252" w:type="dxa"/>
          </w:tcPr>
          <w:p w:rsidR="00210BC7" w:rsidRDefault="000E15D7" w:rsidP="00466057">
            <w:r>
              <w:t xml:space="preserve">Identify </w:t>
            </w:r>
            <w:r w:rsidR="004211B7">
              <w:t xml:space="preserve">an officer and Councillor as an advocate </w:t>
            </w:r>
            <w:r w:rsidR="0082787B">
              <w:t xml:space="preserve">and escalation point </w:t>
            </w:r>
            <w:r w:rsidR="004211B7">
              <w:t xml:space="preserve">for the sector </w:t>
            </w:r>
            <w:r w:rsidR="0082787B">
              <w:t>and t</w:t>
            </w:r>
            <w:r w:rsidR="004211B7">
              <w:t xml:space="preserve">o </w:t>
            </w:r>
            <w:r>
              <w:t>champion, co-ordinate and take forward the action plan.</w:t>
            </w:r>
          </w:p>
          <w:p w:rsidR="00D763B8" w:rsidRDefault="00D763B8" w:rsidP="00466057"/>
          <w:p w:rsidR="00210BC7" w:rsidRDefault="00D763B8" w:rsidP="00466057">
            <w:r>
              <w:t xml:space="preserve">Develop a report to </w:t>
            </w:r>
            <w:r w:rsidR="005163EC">
              <w:t xml:space="preserve">SEB and </w:t>
            </w:r>
            <w:r>
              <w:t xml:space="preserve">Cabinet outlining the approach and </w:t>
            </w:r>
            <w:r w:rsidR="003F7BFF">
              <w:t>actions to bring together the shared aspirations and approach going forward.</w:t>
            </w:r>
          </w:p>
          <w:p w:rsidR="00210BC7" w:rsidRDefault="00210BC7" w:rsidP="00466057"/>
        </w:tc>
        <w:tc>
          <w:tcPr>
            <w:tcW w:w="3402" w:type="dxa"/>
          </w:tcPr>
          <w:p w:rsidR="00210BC7" w:rsidRDefault="000E15D7" w:rsidP="00466057">
            <w:r>
              <w:t>Mark Taylor</w:t>
            </w:r>
          </w:p>
          <w:p w:rsidR="003F7BFF" w:rsidRDefault="005124FD" w:rsidP="00466057">
            <w:r>
              <w:t>Cllr Reynolds or Cllr Moran</w:t>
            </w:r>
          </w:p>
          <w:p w:rsidR="003F7BFF" w:rsidRDefault="003F7BFF" w:rsidP="00466057"/>
          <w:p w:rsidR="003F7BFF" w:rsidRDefault="003F7BFF" w:rsidP="00466057"/>
          <w:p w:rsidR="0082787B" w:rsidRDefault="0082787B" w:rsidP="00466057"/>
          <w:p w:rsidR="003F7BFF" w:rsidRDefault="003F7BFF" w:rsidP="00466057">
            <w:r>
              <w:t>Mark Taylor/</w:t>
            </w:r>
            <w:r w:rsidR="00EE6FFD">
              <w:t>Angela McKeever</w:t>
            </w:r>
          </w:p>
        </w:tc>
        <w:tc>
          <w:tcPr>
            <w:tcW w:w="2410" w:type="dxa"/>
          </w:tcPr>
          <w:p w:rsidR="00210BC7" w:rsidRDefault="004D4203" w:rsidP="00466057">
            <w:r>
              <w:t xml:space="preserve">Mark Taylor will be lead officer. </w:t>
            </w:r>
          </w:p>
        </w:tc>
      </w:tr>
      <w:tr w:rsidR="00210BC7" w:rsidTr="004211B7">
        <w:tc>
          <w:tcPr>
            <w:tcW w:w="3823" w:type="dxa"/>
            <w:vMerge/>
          </w:tcPr>
          <w:p w:rsidR="00210BC7" w:rsidRDefault="00210BC7" w:rsidP="00466057"/>
        </w:tc>
        <w:tc>
          <w:tcPr>
            <w:tcW w:w="4252" w:type="dxa"/>
          </w:tcPr>
          <w:p w:rsidR="00210BC7" w:rsidRDefault="004211B7" w:rsidP="00466057">
            <w:r>
              <w:t>Identify officers</w:t>
            </w:r>
            <w:r w:rsidR="008C4946">
              <w:t xml:space="preserve"> across the Directorates in CWC</w:t>
            </w:r>
            <w:r>
              <w:t xml:space="preserve"> to champion the V</w:t>
            </w:r>
            <w:r w:rsidR="0031234B">
              <w:t>CS</w:t>
            </w:r>
            <w:r>
              <w:t xml:space="preserve"> and promote opportunities for employees to have more tailored volunteering opportunities in local voluntary sector organisations</w:t>
            </w:r>
            <w:r w:rsidR="008C4946">
              <w:t>.</w:t>
            </w:r>
          </w:p>
          <w:p w:rsidR="00D763B8" w:rsidRDefault="00D763B8" w:rsidP="00466057"/>
          <w:p w:rsidR="00D763B8" w:rsidRDefault="00D763B8" w:rsidP="00D763B8">
            <w:r>
              <w:t>Establish a list of organisations who can offer opportunities to CWC employees</w:t>
            </w:r>
            <w:r w:rsidR="008C4946">
              <w:t>.</w:t>
            </w:r>
          </w:p>
          <w:p w:rsidR="00D763B8" w:rsidRDefault="00D763B8" w:rsidP="00466057"/>
          <w:p w:rsidR="00210BC7" w:rsidRDefault="00210BC7" w:rsidP="00466057"/>
        </w:tc>
        <w:tc>
          <w:tcPr>
            <w:tcW w:w="3402" w:type="dxa"/>
          </w:tcPr>
          <w:p w:rsidR="00D763B8" w:rsidRDefault="000B1C58" w:rsidP="00466057">
            <w:r>
              <w:t>Martha Cummings</w:t>
            </w:r>
            <w:r w:rsidR="00EE6FFD">
              <w:t>/ Angela McKeever</w:t>
            </w:r>
          </w:p>
          <w:p w:rsidR="00D763B8" w:rsidRDefault="00D763B8" w:rsidP="00466057"/>
          <w:p w:rsidR="00D763B8" w:rsidRDefault="00D763B8" w:rsidP="00466057"/>
          <w:p w:rsidR="00D763B8" w:rsidRDefault="00D763B8" w:rsidP="00466057"/>
          <w:p w:rsidR="00D763B8" w:rsidRDefault="00D763B8" w:rsidP="00466057"/>
          <w:p w:rsidR="00D763B8" w:rsidRDefault="00D763B8" w:rsidP="00466057">
            <w:r>
              <w:t>Peter Emms</w:t>
            </w:r>
          </w:p>
          <w:p w:rsidR="00D763B8" w:rsidRDefault="00D763B8" w:rsidP="00466057"/>
        </w:tc>
        <w:tc>
          <w:tcPr>
            <w:tcW w:w="2410" w:type="dxa"/>
          </w:tcPr>
          <w:p w:rsidR="00210BC7" w:rsidRDefault="00210BC7" w:rsidP="00466057"/>
        </w:tc>
      </w:tr>
      <w:tr w:rsidR="00AC76D9" w:rsidTr="004211B7">
        <w:tc>
          <w:tcPr>
            <w:tcW w:w="3823" w:type="dxa"/>
          </w:tcPr>
          <w:p w:rsidR="00AC76D9" w:rsidRDefault="00AC76D9" w:rsidP="00466057"/>
        </w:tc>
        <w:tc>
          <w:tcPr>
            <w:tcW w:w="4252" w:type="dxa"/>
          </w:tcPr>
          <w:p w:rsidR="00AC76D9" w:rsidRDefault="00AC76D9" w:rsidP="00466057">
            <w:r>
              <w:t xml:space="preserve">Identify training opportunities </w:t>
            </w:r>
            <w:r w:rsidR="00FA2350">
              <w:t xml:space="preserve">to share knowledge </w:t>
            </w:r>
            <w:r w:rsidR="001650AA">
              <w:t xml:space="preserve">across the VCS and CWC </w:t>
            </w:r>
            <w:r w:rsidR="00FA2350">
              <w:t>e.g. restorative practice, Safeguarding</w:t>
            </w:r>
            <w:r w:rsidR="001650AA">
              <w:t>.</w:t>
            </w:r>
          </w:p>
          <w:p w:rsidR="00AC76D9" w:rsidRDefault="00AC76D9" w:rsidP="00466057"/>
          <w:p w:rsidR="00AC76D9" w:rsidRDefault="00AC76D9" w:rsidP="00466057"/>
        </w:tc>
        <w:tc>
          <w:tcPr>
            <w:tcW w:w="3402" w:type="dxa"/>
          </w:tcPr>
          <w:p w:rsidR="00AC76D9" w:rsidRDefault="00FA2350" w:rsidP="00466057">
            <w:r>
              <w:t>Martha Cummings</w:t>
            </w:r>
            <w:r w:rsidR="00EE6FFD">
              <w:t xml:space="preserve">/ </w:t>
            </w:r>
            <w:r w:rsidR="00312FDD">
              <w:t xml:space="preserve">Sharon </w:t>
            </w:r>
            <w:proofErr w:type="spellStart"/>
            <w:r w:rsidR="00312FDD">
              <w:t>Nanon</w:t>
            </w:r>
            <w:proofErr w:type="spellEnd"/>
            <w:r w:rsidR="00312FDD">
              <w:t>-Sen/Stephen Dodd</w:t>
            </w:r>
          </w:p>
        </w:tc>
        <w:tc>
          <w:tcPr>
            <w:tcW w:w="2410" w:type="dxa"/>
          </w:tcPr>
          <w:p w:rsidR="00AC76D9" w:rsidRDefault="00AC76D9" w:rsidP="00466057"/>
        </w:tc>
      </w:tr>
    </w:tbl>
    <w:p w:rsidR="003B253F" w:rsidRDefault="003B253F">
      <w:pPr>
        <w:rPr>
          <w:sz w:val="28"/>
          <w:szCs w:val="28"/>
        </w:rPr>
      </w:pPr>
    </w:p>
    <w:p w:rsidR="003B253F" w:rsidRDefault="003B253F">
      <w:pPr>
        <w:rPr>
          <w:sz w:val="28"/>
          <w:szCs w:val="28"/>
        </w:rPr>
      </w:pPr>
    </w:p>
    <w:p w:rsidR="003B253F" w:rsidRDefault="003B253F">
      <w:pPr>
        <w:rPr>
          <w:sz w:val="28"/>
          <w:szCs w:val="28"/>
        </w:rPr>
      </w:pPr>
    </w:p>
    <w:p w:rsidR="00B86BE4" w:rsidRDefault="00B86BE4">
      <w:pPr>
        <w:rPr>
          <w:sz w:val="28"/>
          <w:szCs w:val="28"/>
        </w:rPr>
      </w:pPr>
    </w:p>
    <w:tbl>
      <w:tblPr>
        <w:tblStyle w:val="TableGrid"/>
        <w:tblpPr w:leftFromText="180" w:rightFromText="180" w:vertAnchor="page" w:horzAnchor="margin" w:tblpX="-147" w:tblpY="1397"/>
        <w:tblW w:w="14034" w:type="dxa"/>
        <w:tblLook w:val="04A0" w:firstRow="1" w:lastRow="0" w:firstColumn="1" w:lastColumn="0" w:noHBand="0" w:noVBand="1"/>
      </w:tblPr>
      <w:tblGrid>
        <w:gridCol w:w="3970"/>
        <w:gridCol w:w="4252"/>
        <w:gridCol w:w="3402"/>
        <w:gridCol w:w="2410"/>
      </w:tblGrid>
      <w:tr w:rsidR="00B86BE4" w:rsidTr="00224502">
        <w:tc>
          <w:tcPr>
            <w:tcW w:w="14034" w:type="dxa"/>
            <w:gridSpan w:val="4"/>
            <w:shd w:val="clear" w:color="auto" w:fill="7030A0"/>
          </w:tcPr>
          <w:p w:rsidR="00B86BE4" w:rsidRPr="003B253F" w:rsidRDefault="00B86BE4" w:rsidP="00224502">
            <w:pPr>
              <w:rPr>
                <w:color w:val="FFFFFF" w:themeColor="background1"/>
              </w:rPr>
            </w:pPr>
          </w:p>
          <w:p w:rsidR="00B86BE4" w:rsidRPr="003B253F" w:rsidRDefault="00B86BE4" w:rsidP="00224502">
            <w:pPr>
              <w:rPr>
                <w:b/>
                <w:color w:val="FFFFFF" w:themeColor="background1"/>
                <w:sz w:val="28"/>
                <w:szCs w:val="28"/>
              </w:rPr>
            </w:pPr>
            <w:r>
              <w:rPr>
                <w:b/>
                <w:color w:val="FFFFFF" w:themeColor="background1"/>
                <w:sz w:val="28"/>
                <w:szCs w:val="28"/>
              </w:rPr>
              <w:t xml:space="preserve">Priority 2 </w:t>
            </w:r>
            <w:r w:rsidR="00816CA4">
              <w:rPr>
                <w:b/>
                <w:color w:val="FFFFFF" w:themeColor="background1"/>
                <w:sz w:val="28"/>
                <w:szCs w:val="28"/>
              </w:rPr>
              <w:t>–</w:t>
            </w:r>
            <w:r>
              <w:rPr>
                <w:b/>
                <w:color w:val="FFFFFF" w:themeColor="background1"/>
                <w:sz w:val="28"/>
                <w:szCs w:val="28"/>
              </w:rPr>
              <w:t xml:space="preserve"> </w:t>
            </w:r>
            <w:r w:rsidR="00816CA4">
              <w:rPr>
                <w:b/>
                <w:color w:val="FFFFFF" w:themeColor="background1"/>
                <w:sz w:val="28"/>
                <w:szCs w:val="28"/>
              </w:rPr>
              <w:t xml:space="preserve">Quality </w:t>
            </w:r>
            <w:r>
              <w:rPr>
                <w:b/>
                <w:color w:val="FFFFFF" w:themeColor="background1"/>
                <w:sz w:val="28"/>
                <w:szCs w:val="28"/>
              </w:rPr>
              <w:t>Communication</w:t>
            </w:r>
          </w:p>
          <w:p w:rsidR="00B86BE4" w:rsidRPr="003B253F" w:rsidRDefault="00B86BE4" w:rsidP="00224502">
            <w:pPr>
              <w:rPr>
                <w:color w:val="FFFFFF" w:themeColor="background1"/>
                <w:sz w:val="28"/>
                <w:szCs w:val="28"/>
              </w:rPr>
            </w:pPr>
            <w:r>
              <w:rPr>
                <w:color w:val="FFFFFF" w:themeColor="background1"/>
                <w:sz w:val="28"/>
                <w:szCs w:val="28"/>
              </w:rPr>
              <w:t xml:space="preserve">Building opportunities for communication across the </w:t>
            </w:r>
            <w:r w:rsidR="0031234B">
              <w:rPr>
                <w:color w:val="FFFFFF" w:themeColor="background1"/>
                <w:sz w:val="28"/>
                <w:szCs w:val="28"/>
              </w:rPr>
              <w:t xml:space="preserve">VCS </w:t>
            </w:r>
            <w:r>
              <w:rPr>
                <w:color w:val="FFFFFF" w:themeColor="background1"/>
                <w:sz w:val="28"/>
                <w:szCs w:val="28"/>
              </w:rPr>
              <w:t>partnership and CWC to increase awareness and create opportunities to share knowledge, best practice and engage</w:t>
            </w:r>
            <w:r w:rsidR="0031234B">
              <w:rPr>
                <w:color w:val="FFFFFF" w:themeColor="background1"/>
                <w:sz w:val="28"/>
                <w:szCs w:val="28"/>
              </w:rPr>
              <w:t>ment</w:t>
            </w:r>
          </w:p>
          <w:p w:rsidR="00B86BE4" w:rsidRPr="003B253F" w:rsidRDefault="00B86BE4" w:rsidP="00224502">
            <w:pPr>
              <w:rPr>
                <w:color w:val="FFFFFF" w:themeColor="background1"/>
                <w:sz w:val="28"/>
                <w:szCs w:val="28"/>
              </w:rPr>
            </w:pPr>
          </w:p>
        </w:tc>
      </w:tr>
      <w:tr w:rsidR="00B86BE4" w:rsidTr="00224502">
        <w:tc>
          <w:tcPr>
            <w:tcW w:w="3970" w:type="dxa"/>
            <w:shd w:val="clear" w:color="auto" w:fill="E4D2F2"/>
          </w:tcPr>
          <w:p w:rsidR="00B86BE4" w:rsidRPr="003B253F" w:rsidRDefault="00B86BE4" w:rsidP="00224502">
            <w:pPr>
              <w:rPr>
                <w:b/>
                <w:sz w:val="28"/>
                <w:szCs w:val="28"/>
              </w:rPr>
            </w:pPr>
            <w:r w:rsidRPr="003B253F">
              <w:rPr>
                <w:b/>
                <w:sz w:val="28"/>
                <w:szCs w:val="28"/>
              </w:rPr>
              <w:t>Issue</w:t>
            </w:r>
            <w:r w:rsidR="00AC76D9">
              <w:rPr>
                <w:b/>
                <w:sz w:val="28"/>
                <w:szCs w:val="28"/>
              </w:rPr>
              <w:t xml:space="preserve"> – You said</w:t>
            </w:r>
          </w:p>
          <w:p w:rsidR="00B86BE4" w:rsidRPr="003B253F" w:rsidRDefault="00B86BE4" w:rsidP="00224502">
            <w:pPr>
              <w:rPr>
                <w:b/>
                <w:sz w:val="28"/>
                <w:szCs w:val="28"/>
              </w:rPr>
            </w:pPr>
          </w:p>
        </w:tc>
        <w:tc>
          <w:tcPr>
            <w:tcW w:w="4252" w:type="dxa"/>
            <w:shd w:val="clear" w:color="auto" w:fill="E4D2F2"/>
          </w:tcPr>
          <w:p w:rsidR="00B86BE4" w:rsidRPr="003B253F" w:rsidRDefault="00B86BE4" w:rsidP="00224502">
            <w:pPr>
              <w:rPr>
                <w:b/>
                <w:sz w:val="28"/>
                <w:szCs w:val="28"/>
              </w:rPr>
            </w:pPr>
            <w:r w:rsidRPr="003B253F">
              <w:rPr>
                <w:b/>
                <w:sz w:val="28"/>
                <w:szCs w:val="28"/>
              </w:rPr>
              <w:t>Action</w:t>
            </w:r>
          </w:p>
        </w:tc>
        <w:tc>
          <w:tcPr>
            <w:tcW w:w="3402" w:type="dxa"/>
            <w:shd w:val="clear" w:color="auto" w:fill="E4D2F2"/>
          </w:tcPr>
          <w:p w:rsidR="00B86BE4" w:rsidRPr="003B253F" w:rsidRDefault="00B86BE4" w:rsidP="00224502">
            <w:pPr>
              <w:rPr>
                <w:b/>
                <w:sz w:val="28"/>
                <w:szCs w:val="28"/>
              </w:rPr>
            </w:pPr>
            <w:r w:rsidRPr="003B253F">
              <w:rPr>
                <w:b/>
                <w:sz w:val="28"/>
                <w:szCs w:val="28"/>
              </w:rPr>
              <w:t>Who is responsible</w:t>
            </w:r>
          </w:p>
        </w:tc>
        <w:tc>
          <w:tcPr>
            <w:tcW w:w="2410" w:type="dxa"/>
            <w:shd w:val="clear" w:color="auto" w:fill="E4D2F2"/>
          </w:tcPr>
          <w:p w:rsidR="00B86BE4" w:rsidRPr="003B253F" w:rsidRDefault="00B86BE4" w:rsidP="00224502">
            <w:pPr>
              <w:rPr>
                <w:b/>
                <w:sz w:val="28"/>
                <w:szCs w:val="28"/>
              </w:rPr>
            </w:pPr>
            <w:r w:rsidRPr="003B253F">
              <w:rPr>
                <w:b/>
                <w:sz w:val="28"/>
                <w:szCs w:val="28"/>
              </w:rPr>
              <w:t>Progress</w:t>
            </w:r>
          </w:p>
        </w:tc>
      </w:tr>
      <w:tr w:rsidR="00B86BE4" w:rsidTr="00224502">
        <w:tc>
          <w:tcPr>
            <w:tcW w:w="3970" w:type="dxa"/>
            <w:vMerge w:val="restart"/>
          </w:tcPr>
          <w:p w:rsidR="00B86BE4" w:rsidRDefault="00B86BE4" w:rsidP="00224502">
            <w:r>
              <w:t>Communication across the partnership and CWC could be better aligned and there are opportunities for the partnership and CWC to raise awareness of what’s on offer and develop an approach for communicating across the organisations in a positive way.</w:t>
            </w:r>
          </w:p>
          <w:p w:rsidR="00B86BE4" w:rsidRDefault="00B86BE4" w:rsidP="00224502"/>
          <w:p w:rsidR="00B86BE4" w:rsidRDefault="00B86BE4" w:rsidP="00224502"/>
          <w:p w:rsidR="00B86BE4" w:rsidRDefault="00B86BE4" w:rsidP="00224502"/>
          <w:p w:rsidR="00B86BE4" w:rsidRDefault="00B86BE4" w:rsidP="00224502"/>
          <w:p w:rsidR="00B86BE4" w:rsidRDefault="00B86BE4" w:rsidP="00224502"/>
          <w:p w:rsidR="00B86BE4" w:rsidRDefault="00B86BE4" w:rsidP="00224502"/>
          <w:p w:rsidR="00B86BE4" w:rsidRDefault="00B86BE4" w:rsidP="00224502"/>
        </w:tc>
        <w:tc>
          <w:tcPr>
            <w:tcW w:w="4252" w:type="dxa"/>
          </w:tcPr>
          <w:p w:rsidR="00B86BE4" w:rsidRDefault="00B86BE4" w:rsidP="00224502">
            <w:r>
              <w:t>Develop a communications approach within CWC to raise awareness of the sector. This is to include;</w:t>
            </w:r>
          </w:p>
          <w:p w:rsidR="00B86BE4" w:rsidRDefault="00B86BE4" w:rsidP="00224502">
            <w:pPr>
              <w:pStyle w:val="ListParagraph"/>
              <w:numPr>
                <w:ilvl w:val="0"/>
                <w:numId w:val="2"/>
              </w:numPr>
            </w:pPr>
            <w:r>
              <w:t>Monthly Employee briefing</w:t>
            </w:r>
            <w:r w:rsidR="00981A02">
              <w:t>s</w:t>
            </w:r>
            <w:r>
              <w:t xml:space="preserve"> – MD to include </w:t>
            </w:r>
            <w:r w:rsidR="00981A02">
              <w:t>VCS</w:t>
            </w:r>
            <w:r>
              <w:t xml:space="preserve"> as a theme</w:t>
            </w:r>
            <w:r w:rsidR="00981A02">
              <w:t xml:space="preserve"> across the year</w:t>
            </w:r>
          </w:p>
          <w:p w:rsidR="00170089" w:rsidRDefault="00170089" w:rsidP="00224502">
            <w:pPr>
              <w:pStyle w:val="ListParagraph"/>
              <w:numPr>
                <w:ilvl w:val="0"/>
                <w:numId w:val="2"/>
              </w:numPr>
            </w:pPr>
            <w:r>
              <w:t>Cllr’s communications</w:t>
            </w:r>
          </w:p>
          <w:p w:rsidR="00B86BE4" w:rsidRDefault="00B86BE4" w:rsidP="00224502">
            <w:pPr>
              <w:pStyle w:val="ListParagraph"/>
              <w:numPr>
                <w:ilvl w:val="0"/>
                <w:numId w:val="2"/>
              </w:numPr>
            </w:pPr>
            <w:r>
              <w:t xml:space="preserve">Volunteering opportunities </w:t>
            </w:r>
            <w:r w:rsidR="00EE6FFD">
              <w:t xml:space="preserve">to maximise skills sharing in </w:t>
            </w:r>
            <w:r>
              <w:t>VCS organisations</w:t>
            </w:r>
          </w:p>
          <w:p w:rsidR="00B86BE4" w:rsidRDefault="00B86BE4" w:rsidP="00816CA4">
            <w:pPr>
              <w:pStyle w:val="ListParagraph"/>
              <w:numPr>
                <w:ilvl w:val="0"/>
                <w:numId w:val="2"/>
              </w:numPr>
            </w:pPr>
            <w:r>
              <w:t>Opportunities for the VCS to be part of future events. E.g. Business programme</w:t>
            </w:r>
          </w:p>
          <w:p w:rsidR="004B0BAD" w:rsidRDefault="004B0BAD" w:rsidP="004B0BAD">
            <w:pPr>
              <w:pStyle w:val="ListParagraph"/>
            </w:pPr>
          </w:p>
        </w:tc>
        <w:tc>
          <w:tcPr>
            <w:tcW w:w="3402" w:type="dxa"/>
          </w:tcPr>
          <w:p w:rsidR="00B86BE4" w:rsidRDefault="00B86BE4" w:rsidP="00224502"/>
          <w:p w:rsidR="00B86BE4" w:rsidRDefault="00B86BE4" w:rsidP="00224502"/>
          <w:p w:rsidR="00B86BE4" w:rsidRDefault="00B86BE4" w:rsidP="00224502"/>
          <w:p w:rsidR="00B86BE4" w:rsidRDefault="00B86BE4" w:rsidP="00224502">
            <w:r>
              <w:t>CWC communications team</w:t>
            </w:r>
          </w:p>
          <w:p w:rsidR="00B86BE4" w:rsidRDefault="00B86BE4" w:rsidP="00224502"/>
          <w:p w:rsidR="00170089" w:rsidRDefault="00170089" w:rsidP="00224502"/>
          <w:p w:rsidR="00EE6FFD" w:rsidRDefault="00EE6FFD" w:rsidP="00224502"/>
          <w:p w:rsidR="00EE6FFD" w:rsidRDefault="00EE6FFD" w:rsidP="00224502"/>
          <w:p w:rsidR="00B86BE4" w:rsidRDefault="00B86BE4" w:rsidP="00224502">
            <w:r>
              <w:t>Martha Cummings</w:t>
            </w:r>
          </w:p>
          <w:p w:rsidR="00B86BE4" w:rsidRDefault="00B86BE4" w:rsidP="00224502"/>
          <w:p w:rsidR="00EE6FFD" w:rsidRDefault="00EE6FFD" w:rsidP="00224502"/>
          <w:p w:rsidR="00B86BE4" w:rsidRDefault="00B86BE4" w:rsidP="00224502">
            <w:r>
              <w:t>Heather Ernst</w:t>
            </w:r>
            <w:r w:rsidR="00E26E21">
              <w:t>s</w:t>
            </w:r>
            <w:r>
              <w:t>o</w:t>
            </w:r>
            <w:r w:rsidR="00816CA4">
              <w:t>n</w:t>
            </w:r>
            <w:r w:rsidR="00981A02">
              <w:t>s</w:t>
            </w:r>
          </w:p>
        </w:tc>
        <w:tc>
          <w:tcPr>
            <w:tcW w:w="2410" w:type="dxa"/>
          </w:tcPr>
          <w:p w:rsidR="00B86BE4" w:rsidRDefault="00B86BE4" w:rsidP="00224502"/>
        </w:tc>
        <w:bookmarkStart w:id="0" w:name="_GoBack"/>
        <w:bookmarkEnd w:id="0"/>
      </w:tr>
      <w:tr w:rsidR="00B86BE4" w:rsidTr="00224502">
        <w:tc>
          <w:tcPr>
            <w:tcW w:w="3970" w:type="dxa"/>
            <w:vMerge/>
          </w:tcPr>
          <w:p w:rsidR="00B86BE4" w:rsidRDefault="00B86BE4" w:rsidP="00224502"/>
        </w:tc>
        <w:tc>
          <w:tcPr>
            <w:tcW w:w="4252" w:type="dxa"/>
          </w:tcPr>
          <w:p w:rsidR="00B86BE4" w:rsidRDefault="00B86BE4" w:rsidP="00224502">
            <w:r>
              <w:t>Establish a point of escalation and communication within the VCS and CWC</w:t>
            </w:r>
            <w:r w:rsidR="00981A02">
              <w:t xml:space="preserve"> for any unresolved issues</w:t>
            </w:r>
            <w:r>
              <w:t>.</w:t>
            </w:r>
          </w:p>
          <w:p w:rsidR="00B86BE4" w:rsidRDefault="00B86BE4" w:rsidP="00224502"/>
        </w:tc>
        <w:tc>
          <w:tcPr>
            <w:tcW w:w="3402" w:type="dxa"/>
          </w:tcPr>
          <w:p w:rsidR="00B86BE4" w:rsidRDefault="00B86BE4" w:rsidP="00224502">
            <w:r>
              <w:t>Mark Taylor – lead officer</w:t>
            </w:r>
          </w:p>
          <w:p w:rsidR="00981A02" w:rsidRDefault="00981A02" w:rsidP="00224502">
            <w:r>
              <w:t xml:space="preserve">Ian Darch </w:t>
            </w:r>
          </w:p>
        </w:tc>
        <w:tc>
          <w:tcPr>
            <w:tcW w:w="2410" w:type="dxa"/>
          </w:tcPr>
          <w:p w:rsidR="00B86BE4" w:rsidRDefault="00B86BE4" w:rsidP="00224502"/>
        </w:tc>
      </w:tr>
      <w:tr w:rsidR="00B86BE4" w:rsidTr="00224502">
        <w:tc>
          <w:tcPr>
            <w:tcW w:w="3970" w:type="dxa"/>
            <w:vMerge/>
          </w:tcPr>
          <w:p w:rsidR="00B86BE4" w:rsidRDefault="00B86BE4" w:rsidP="00224502"/>
        </w:tc>
        <w:tc>
          <w:tcPr>
            <w:tcW w:w="4252" w:type="dxa"/>
          </w:tcPr>
          <w:p w:rsidR="00B86BE4" w:rsidRDefault="00B86BE4" w:rsidP="00224502">
            <w:r>
              <w:t>Support the VCS to develop a suite of information for promotion and communicati</w:t>
            </w:r>
            <w:r w:rsidR="00CD5EB2">
              <w:t>on</w:t>
            </w:r>
            <w:r>
              <w:t xml:space="preserve"> </w:t>
            </w:r>
            <w:r w:rsidR="001650AA">
              <w:t xml:space="preserve">to raise awareness </w:t>
            </w:r>
            <w:r w:rsidR="00FA1180">
              <w:t xml:space="preserve">of the </w:t>
            </w:r>
            <w:r w:rsidR="001650AA">
              <w:t xml:space="preserve">contribution </w:t>
            </w:r>
            <w:r w:rsidR="00FA1180">
              <w:t xml:space="preserve">of the sector </w:t>
            </w:r>
            <w:r w:rsidR="001650AA">
              <w:t xml:space="preserve">to the </w:t>
            </w:r>
            <w:r w:rsidR="0000247D">
              <w:t>City and Economy</w:t>
            </w:r>
            <w:r>
              <w:t>.</w:t>
            </w:r>
          </w:p>
          <w:p w:rsidR="00B86BE4" w:rsidRDefault="00B86BE4" w:rsidP="00224502"/>
          <w:p w:rsidR="00B86BE4" w:rsidRDefault="00B86BE4" w:rsidP="00224502"/>
          <w:p w:rsidR="00B86BE4" w:rsidRDefault="00B86BE4" w:rsidP="00224502"/>
        </w:tc>
        <w:tc>
          <w:tcPr>
            <w:tcW w:w="3402" w:type="dxa"/>
          </w:tcPr>
          <w:p w:rsidR="001650AA" w:rsidRDefault="001650AA" w:rsidP="00224502"/>
          <w:p w:rsidR="00B86BE4" w:rsidRDefault="00B86BE4" w:rsidP="00224502">
            <w:r>
              <w:t>Jo Grocott/ Heather Ernst</w:t>
            </w:r>
            <w:r w:rsidR="00E26E21">
              <w:t>s</w:t>
            </w:r>
            <w:r>
              <w:t>on</w:t>
            </w:r>
            <w:r w:rsidR="00981A02">
              <w:t>s</w:t>
            </w:r>
          </w:p>
        </w:tc>
        <w:tc>
          <w:tcPr>
            <w:tcW w:w="2410" w:type="dxa"/>
          </w:tcPr>
          <w:p w:rsidR="00467487" w:rsidRDefault="00467487" w:rsidP="00224502">
            <w:r>
              <w:t xml:space="preserve">A survey has been sent to organisations in the sector and an infographic highlighting value in the sector produced. This is to be </w:t>
            </w:r>
            <w:r>
              <w:lastRenderedPageBreak/>
              <w:t>shared at the VCS celebration event on the 8</w:t>
            </w:r>
            <w:r w:rsidRPr="00467487">
              <w:rPr>
                <w:vertAlign w:val="superscript"/>
              </w:rPr>
              <w:t>th</w:t>
            </w:r>
            <w:r>
              <w:t xml:space="preserve"> November.</w:t>
            </w:r>
          </w:p>
        </w:tc>
      </w:tr>
    </w:tbl>
    <w:p w:rsidR="00B86BE4" w:rsidRDefault="00B86BE4">
      <w:pPr>
        <w:rPr>
          <w:sz w:val="28"/>
          <w:szCs w:val="28"/>
        </w:rPr>
      </w:pPr>
    </w:p>
    <w:tbl>
      <w:tblPr>
        <w:tblStyle w:val="TableGrid"/>
        <w:tblpPr w:leftFromText="180" w:rightFromText="180" w:vertAnchor="page" w:horzAnchor="margin" w:tblpX="-147" w:tblpY="1397"/>
        <w:tblW w:w="14034" w:type="dxa"/>
        <w:tblLook w:val="04A0" w:firstRow="1" w:lastRow="0" w:firstColumn="1" w:lastColumn="0" w:noHBand="0" w:noVBand="1"/>
      </w:tblPr>
      <w:tblGrid>
        <w:gridCol w:w="3970"/>
        <w:gridCol w:w="4252"/>
        <w:gridCol w:w="3402"/>
        <w:gridCol w:w="2410"/>
      </w:tblGrid>
      <w:tr w:rsidR="00816CA4" w:rsidTr="00224502">
        <w:tc>
          <w:tcPr>
            <w:tcW w:w="14034" w:type="dxa"/>
            <w:gridSpan w:val="4"/>
            <w:shd w:val="clear" w:color="auto" w:fill="7030A0"/>
          </w:tcPr>
          <w:p w:rsidR="00816CA4" w:rsidRPr="003B253F" w:rsidRDefault="00816CA4" w:rsidP="00224502">
            <w:pPr>
              <w:rPr>
                <w:color w:val="FFFFFF" w:themeColor="background1"/>
              </w:rPr>
            </w:pPr>
          </w:p>
          <w:p w:rsidR="00816CA4" w:rsidRPr="003B253F" w:rsidRDefault="00816CA4" w:rsidP="00224502">
            <w:pPr>
              <w:rPr>
                <w:b/>
                <w:color w:val="FFFFFF" w:themeColor="background1"/>
                <w:sz w:val="28"/>
                <w:szCs w:val="28"/>
              </w:rPr>
            </w:pPr>
            <w:r>
              <w:rPr>
                <w:b/>
                <w:color w:val="FFFFFF" w:themeColor="background1"/>
                <w:sz w:val="28"/>
                <w:szCs w:val="28"/>
              </w:rPr>
              <w:t xml:space="preserve">Priority </w:t>
            </w:r>
            <w:r w:rsidR="005B6739">
              <w:rPr>
                <w:b/>
                <w:color w:val="FFFFFF" w:themeColor="background1"/>
                <w:sz w:val="28"/>
                <w:szCs w:val="28"/>
              </w:rPr>
              <w:t>3</w:t>
            </w:r>
            <w:r>
              <w:rPr>
                <w:b/>
                <w:color w:val="FFFFFF" w:themeColor="background1"/>
                <w:sz w:val="28"/>
                <w:szCs w:val="28"/>
              </w:rPr>
              <w:t xml:space="preserve"> – Co-ordinated Commissioning</w:t>
            </w:r>
          </w:p>
          <w:p w:rsidR="00816CA4" w:rsidRDefault="00DA1826" w:rsidP="00816CA4">
            <w:pPr>
              <w:rPr>
                <w:color w:val="FFFFFF" w:themeColor="background1"/>
                <w:sz w:val="28"/>
                <w:szCs w:val="28"/>
              </w:rPr>
            </w:pPr>
            <w:r>
              <w:rPr>
                <w:color w:val="FFFFFF" w:themeColor="background1"/>
                <w:sz w:val="28"/>
                <w:szCs w:val="28"/>
              </w:rPr>
              <w:t xml:space="preserve">Develop and implement a co-ordinated </w:t>
            </w:r>
            <w:r w:rsidR="00EE6FFD">
              <w:rPr>
                <w:color w:val="FFFFFF" w:themeColor="background1"/>
                <w:sz w:val="28"/>
                <w:szCs w:val="28"/>
              </w:rPr>
              <w:t xml:space="preserve">and co-produced </w:t>
            </w:r>
            <w:r>
              <w:rPr>
                <w:color w:val="FFFFFF" w:themeColor="background1"/>
                <w:sz w:val="28"/>
                <w:szCs w:val="28"/>
              </w:rPr>
              <w:t xml:space="preserve">commissioning process between </w:t>
            </w:r>
            <w:r w:rsidR="000753D4">
              <w:rPr>
                <w:color w:val="FFFFFF" w:themeColor="background1"/>
                <w:sz w:val="28"/>
                <w:szCs w:val="28"/>
              </w:rPr>
              <w:t>the partnership and CWC</w:t>
            </w:r>
          </w:p>
          <w:p w:rsidR="00816CA4" w:rsidRPr="003B253F" w:rsidRDefault="00816CA4" w:rsidP="00816CA4">
            <w:pPr>
              <w:rPr>
                <w:color w:val="FFFFFF" w:themeColor="background1"/>
                <w:sz w:val="28"/>
                <w:szCs w:val="28"/>
              </w:rPr>
            </w:pPr>
          </w:p>
        </w:tc>
      </w:tr>
      <w:tr w:rsidR="00816CA4" w:rsidTr="00224502">
        <w:tc>
          <w:tcPr>
            <w:tcW w:w="3970" w:type="dxa"/>
            <w:shd w:val="clear" w:color="auto" w:fill="E4D2F2"/>
          </w:tcPr>
          <w:p w:rsidR="00816CA4" w:rsidRPr="003B253F" w:rsidRDefault="00816CA4" w:rsidP="00224502">
            <w:pPr>
              <w:rPr>
                <w:b/>
                <w:sz w:val="28"/>
                <w:szCs w:val="28"/>
              </w:rPr>
            </w:pPr>
            <w:r w:rsidRPr="003B253F">
              <w:rPr>
                <w:b/>
                <w:sz w:val="28"/>
                <w:szCs w:val="28"/>
              </w:rPr>
              <w:t>Issue</w:t>
            </w:r>
            <w:r w:rsidR="00AC76D9">
              <w:rPr>
                <w:b/>
                <w:sz w:val="28"/>
                <w:szCs w:val="28"/>
              </w:rPr>
              <w:t xml:space="preserve"> – You said</w:t>
            </w:r>
          </w:p>
          <w:p w:rsidR="00816CA4" w:rsidRPr="003B253F" w:rsidRDefault="00816CA4" w:rsidP="00224502">
            <w:pPr>
              <w:rPr>
                <w:b/>
                <w:sz w:val="28"/>
                <w:szCs w:val="28"/>
              </w:rPr>
            </w:pPr>
          </w:p>
        </w:tc>
        <w:tc>
          <w:tcPr>
            <w:tcW w:w="4252" w:type="dxa"/>
            <w:shd w:val="clear" w:color="auto" w:fill="E4D2F2"/>
          </w:tcPr>
          <w:p w:rsidR="00816CA4" w:rsidRPr="003B253F" w:rsidRDefault="00816CA4" w:rsidP="00224502">
            <w:pPr>
              <w:rPr>
                <w:b/>
                <w:sz w:val="28"/>
                <w:szCs w:val="28"/>
              </w:rPr>
            </w:pPr>
            <w:r w:rsidRPr="003B253F">
              <w:rPr>
                <w:b/>
                <w:sz w:val="28"/>
                <w:szCs w:val="28"/>
              </w:rPr>
              <w:t>Action</w:t>
            </w:r>
          </w:p>
        </w:tc>
        <w:tc>
          <w:tcPr>
            <w:tcW w:w="3402" w:type="dxa"/>
            <w:shd w:val="clear" w:color="auto" w:fill="E4D2F2"/>
          </w:tcPr>
          <w:p w:rsidR="00816CA4" w:rsidRPr="003B253F" w:rsidRDefault="00816CA4" w:rsidP="00224502">
            <w:pPr>
              <w:rPr>
                <w:b/>
                <w:sz w:val="28"/>
                <w:szCs w:val="28"/>
              </w:rPr>
            </w:pPr>
            <w:r w:rsidRPr="003B253F">
              <w:rPr>
                <w:b/>
                <w:sz w:val="28"/>
                <w:szCs w:val="28"/>
              </w:rPr>
              <w:t>Who is responsible</w:t>
            </w:r>
          </w:p>
        </w:tc>
        <w:tc>
          <w:tcPr>
            <w:tcW w:w="2410" w:type="dxa"/>
            <w:shd w:val="clear" w:color="auto" w:fill="E4D2F2"/>
          </w:tcPr>
          <w:p w:rsidR="00816CA4" w:rsidRPr="003B253F" w:rsidRDefault="00816CA4" w:rsidP="00224502">
            <w:pPr>
              <w:rPr>
                <w:b/>
                <w:sz w:val="28"/>
                <w:szCs w:val="28"/>
              </w:rPr>
            </w:pPr>
            <w:r w:rsidRPr="003B253F">
              <w:rPr>
                <w:b/>
                <w:sz w:val="28"/>
                <w:szCs w:val="28"/>
              </w:rPr>
              <w:t>Progress</w:t>
            </w:r>
          </w:p>
        </w:tc>
      </w:tr>
      <w:tr w:rsidR="00816CA4" w:rsidTr="00224502">
        <w:tc>
          <w:tcPr>
            <w:tcW w:w="3970" w:type="dxa"/>
            <w:vMerge w:val="restart"/>
          </w:tcPr>
          <w:p w:rsidR="00816CA4" w:rsidRDefault="000753D4" w:rsidP="00224502">
            <w:r>
              <w:t>Commissioning processes are not always clear</w:t>
            </w:r>
            <w:r w:rsidR="00090DA3">
              <w:t xml:space="preserve"> between </w:t>
            </w:r>
            <w:r w:rsidR="00AC76D9">
              <w:t xml:space="preserve">CWC and the </w:t>
            </w:r>
            <w:r w:rsidR="005B6739">
              <w:t xml:space="preserve">VCS </w:t>
            </w:r>
            <w:r w:rsidR="00AC76D9">
              <w:t>partnership</w:t>
            </w:r>
            <w:r w:rsidR="00885DBB">
              <w:t xml:space="preserve">. </w:t>
            </w:r>
            <w:r w:rsidR="005B6739">
              <w:t xml:space="preserve">Feedback is not always received and there is opportunity to develop stronger </w:t>
            </w:r>
            <w:r w:rsidR="0000247D">
              <w:t>processes and feedback</w:t>
            </w:r>
            <w:r w:rsidR="005B6739">
              <w:t xml:space="preserve"> for commissioning activities.</w:t>
            </w:r>
          </w:p>
          <w:p w:rsidR="00816CA4" w:rsidRDefault="00816CA4" w:rsidP="00224502"/>
          <w:p w:rsidR="00816CA4" w:rsidRDefault="00816CA4" w:rsidP="00224502"/>
          <w:p w:rsidR="00816CA4" w:rsidRDefault="00816CA4" w:rsidP="00224502"/>
          <w:p w:rsidR="00816CA4" w:rsidRDefault="00816CA4" w:rsidP="00224502"/>
          <w:p w:rsidR="00816CA4" w:rsidRDefault="00816CA4" w:rsidP="00224502"/>
          <w:p w:rsidR="00816CA4" w:rsidRDefault="00816CA4" w:rsidP="00224502"/>
        </w:tc>
        <w:tc>
          <w:tcPr>
            <w:tcW w:w="4252" w:type="dxa"/>
          </w:tcPr>
          <w:p w:rsidR="00816CA4" w:rsidRDefault="005B6739" w:rsidP="005B6739">
            <w:r>
              <w:t xml:space="preserve">Establish a forum across the partnership and CWC </w:t>
            </w:r>
            <w:r w:rsidR="0010249D">
              <w:t xml:space="preserve">commissioning </w:t>
            </w:r>
            <w:r>
              <w:t xml:space="preserve">to </w:t>
            </w:r>
            <w:r w:rsidR="004B0BAD">
              <w:t>discuss and develop</w:t>
            </w:r>
            <w:r>
              <w:t>;</w:t>
            </w:r>
          </w:p>
          <w:p w:rsidR="005B6739" w:rsidRDefault="005B6739" w:rsidP="005B6739">
            <w:pPr>
              <w:pStyle w:val="ListParagraph"/>
              <w:numPr>
                <w:ilvl w:val="0"/>
                <w:numId w:val="3"/>
              </w:numPr>
            </w:pPr>
            <w:r>
              <w:t xml:space="preserve">Social value </w:t>
            </w:r>
            <w:r w:rsidR="004B0BAD">
              <w:t xml:space="preserve">models </w:t>
            </w:r>
          </w:p>
          <w:p w:rsidR="005B6739" w:rsidRDefault="004B0BAD" w:rsidP="005B6739">
            <w:pPr>
              <w:pStyle w:val="ListParagraph"/>
              <w:numPr>
                <w:ilvl w:val="0"/>
                <w:numId w:val="3"/>
              </w:numPr>
            </w:pPr>
            <w:r>
              <w:t>Areas of c</w:t>
            </w:r>
            <w:r w:rsidR="005B6739">
              <w:t xml:space="preserve">ollaboration </w:t>
            </w:r>
            <w:r w:rsidR="0010249D">
              <w:t>and co-production</w:t>
            </w:r>
          </w:p>
          <w:p w:rsidR="004B0BAD" w:rsidRDefault="004B0BAD" w:rsidP="005B6739">
            <w:pPr>
              <w:pStyle w:val="ListParagraph"/>
              <w:numPr>
                <w:ilvl w:val="0"/>
                <w:numId w:val="3"/>
              </w:numPr>
            </w:pPr>
            <w:r>
              <w:t xml:space="preserve">Sharing best practice </w:t>
            </w:r>
          </w:p>
          <w:p w:rsidR="0010249D" w:rsidRDefault="004B0BAD" w:rsidP="0010249D">
            <w:pPr>
              <w:pStyle w:val="ListParagraph"/>
              <w:numPr>
                <w:ilvl w:val="0"/>
                <w:numId w:val="3"/>
              </w:numPr>
            </w:pPr>
            <w:r>
              <w:t>Commissioning approaches</w:t>
            </w:r>
            <w:r w:rsidR="008C4946">
              <w:t xml:space="preserve"> e.g. the value of localised provision</w:t>
            </w:r>
          </w:p>
          <w:p w:rsidR="0010249D" w:rsidRDefault="0010249D" w:rsidP="005B6739">
            <w:pPr>
              <w:pStyle w:val="ListParagraph"/>
              <w:numPr>
                <w:ilvl w:val="0"/>
                <w:numId w:val="3"/>
              </w:numPr>
            </w:pPr>
            <w:r>
              <w:t>Local investment</w:t>
            </w:r>
          </w:p>
          <w:p w:rsidR="004B0BAD" w:rsidRDefault="004B0BAD" w:rsidP="004B0BAD">
            <w:pPr>
              <w:pStyle w:val="ListParagraph"/>
            </w:pPr>
          </w:p>
        </w:tc>
        <w:tc>
          <w:tcPr>
            <w:tcW w:w="3402" w:type="dxa"/>
          </w:tcPr>
          <w:p w:rsidR="00816CA4" w:rsidRDefault="00486ED5" w:rsidP="00224502">
            <w:r>
              <w:t>Ian Darch/ Mark Taylor</w:t>
            </w:r>
          </w:p>
          <w:p w:rsidR="00816CA4" w:rsidRDefault="00816CA4" w:rsidP="00224502"/>
        </w:tc>
        <w:tc>
          <w:tcPr>
            <w:tcW w:w="2410" w:type="dxa"/>
          </w:tcPr>
          <w:p w:rsidR="00816CA4" w:rsidRDefault="00816CA4" w:rsidP="00224502"/>
        </w:tc>
      </w:tr>
      <w:tr w:rsidR="00816CA4" w:rsidTr="00224502">
        <w:tc>
          <w:tcPr>
            <w:tcW w:w="3970" w:type="dxa"/>
            <w:vMerge/>
          </w:tcPr>
          <w:p w:rsidR="00816CA4" w:rsidRDefault="00816CA4" w:rsidP="00224502"/>
        </w:tc>
        <w:tc>
          <w:tcPr>
            <w:tcW w:w="4252" w:type="dxa"/>
          </w:tcPr>
          <w:p w:rsidR="008C4946" w:rsidRDefault="004B0BAD" w:rsidP="00224502">
            <w:r>
              <w:t>Develop a training package delivered by CWC procurement to inform</w:t>
            </w:r>
            <w:r w:rsidR="008C4946">
              <w:t xml:space="preserve"> and assist </w:t>
            </w:r>
            <w:r>
              <w:t>the tender and bidding process and maximise success for organisations in the City.</w:t>
            </w:r>
          </w:p>
          <w:p w:rsidR="008C4946" w:rsidRDefault="008C4946" w:rsidP="00224502"/>
          <w:p w:rsidR="00816CA4" w:rsidRDefault="004B0BAD" w:rsidP="00224502">
            <w:r>
              <w:t>This should include online material e.g. podcasts, digital how to guides.</w:t>
            </w:r>
          </w:p>
          <w:p w:rsidR="00816CA4" w:rsidRDefault="00816CA4" w:rsidP="00224502"/>
        </w:tc>
        <w:tc>
          <w:tcPr>
            <w:tcW w:w="3402" w:type="dxa"/>
          </w:tcPr>
          <w:p w:rsidR="00816CA4" w:rsidRDefault="00EE6FFD" w:rsidP="00224502">
            <w:r>
              <w:t>Procurement/ Ian Darch</w:t>
            </w:r>
            <w:r w:rsidR="00312FDD">
              <w:t>/Michelle Hansell</w:t>
            </w:r>
          </w:p>
        </w:tc>
        <w:tc>
          <w:tcPr>
            <w:tcW w:w="2410" w:type="dxa"/>
          </w:tcPr>
          <w:p w:rsidR="00816CA4" w:rsidRDefault="00816CA4" w:rsidP="00224502"/>
        </w:tc>
      </w:tr>
      <w:tr w:rsidR="00816CA4" w:rsidTr="00224502">
        <w:tc>
          <w:tcPr>
            <w:tcW w:w="3970" w:type="dxa"/>
            <w:vMerge/>
          </w:tcPr>
          <w:p w:rsidR="00816CA4" w:rsidRDefault="00816CA4" w:rsidP="00224502"/>
        </w:tc>
        <w:tc>
          <w:tcPr>
            <w:tcW w:w="4252" w:type="dxa"/>
          </w:tcPr>
          <w:p w:rsidR="0000247D" w:rsidRDefault="0000247D" w:rsidP="00224502">
            <w:r>
              <w:t>Carry out a mapping exercise to identify all VCS organisations who are contracted with CWC</w:t>
            </w:r>
            <w:r w:rsidR="008C4946">
              <w:t>.</w:t>
            </w:r>
          </w:p>
          <w:p w:rsidR="0000247D" w:rsidRDefault="0000247D" w:rsidP="00224502"/>
          <w:p w:rsidR="00816CA4" w:rsidRDefault="0010249D" w:rsidP="0000247D">
            <w:r>
              <w:t xml:space="preserve">Review contract award criteria </w:t>
            </w:r>
            <w:r w:rsidR="0000247D">
              <w:t>for new tenders and d</w:t>
            </w:r>
            <w:r>
              <w:t xml:space="preserve">evelop a framework for providing feedback to organisations </w:t>
            </w:r>
            <w:r w:rsidR="0000247D">
              <w:t xml:space="preserve">who are not successful. </w:t>
            </w:r>
          </w:p>
        </w:tc>
        <w:tc>
          <w:tcPr>
            <w:tcW w:w="3402" w:type="dxa"/>
          </w:tcPr>
          <w:p w:rsidR="00816CA4" w:rsidRDefault="00EE6FFD" w:rsidP="00224502">
            <w:r>
              <w:t xml:space="preserve">Andy Moran </w:t>
            </w:r>
          </w:p>
          <w:p w:rsidR="00EE6FFD" w:rsidRDefault="00EE6FFD" w:rsidP="00224502"/>
          <w:p w:rsidR="00EE6FFD" w:rsidRDefault="00EE6FFD" w:rsidP="00224502"/>
          <w:p w:rsidR="00EE6FFD" w:rsidRDefault="00EE6FFD" w:rsidP="00224502"/>
          <w:p w:rsidR="00EE6FFD" w:rsidRDefault="008C4946" w:rsidP="00224502">
            <w:r>
              <w:t>Procurement</w:t>
            </w:r>
          </w:p>
        </w:tc>
        <w:tc>
          <w:tcPr>
            <w:tcW w:w="2410" w:type="dxa"/>
          </w:tcPr>
          <w:p w:rsidR="00816CA4" w:rsidRDefault="00816CA4" w:rsidP="00224502"/>
        </w:tc>
      </w:tr>
    </w:tbl>
    <w:p w:rsidR="00816CA4" w:rsidRDefault="00816CA4">
      <w:pPr>
        <w:rPr>
          <w:sz w:val="28"/>
          <w:szCs w:val="28"/>
        </w:rPr>
      </w:pPr>
    </w:p>
    <w:p w:rsidR="00816CA4" w:rsidRPr="00210BC7" w:rsidRDefault="00816CA4">
      <w:pPr>
        <w:rPr>
          <w:sz w:val="28"/>
          <w:szCs w:val="28"/>
        </w:rPr>
      </w:pPr>
    </w:p>
    <w:sectPr w:rsidR="00816CA4" w:rsidRPr="00210BC7" w:rsidSect="00210BC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F3" w:rsidRDefault="00E814F3" w:rsidP="000B1C58">
      <w:pPr>
        <w:spacing w:after="0" w:line="240" w:lineRule="auto"/>
      </w:pPr>
      <w:r>
        <w:separator/>
      </w:r>
    </w:p>
  </w:endnote>
  <w:endnote w:type="continuationSeparator" w:id="0">
    <w:p w:rsidR="00E814F3" w:rsidRDefault="00E814F3" w:rsidP="000B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F3" w:rsidRDefault="00E814F3" w:rsidP="000B1C58">
      <w:pPr>
        <w:spacing w:after="0" w:line="240" w:lineRule="auto"/>
      </w:pPr>
      <w:r>
        <w:separator/>
      </w:r>
    </w:p>
  </w:footnote>
  <w:footnote w:type="continuationSeparator" w:id="0">
    <w:p w:rsidR="00E814F3" w:rsidRDefault="00E814F3" w:rsidP="000B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C58" w:rsidRDefault="000B1C58">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10692130" cy="266700"/>
              <wp:effectExtent l="0" t="0" r="0" b="0"/>
              <wp:wrapNone/>
              <wp:docPr id="1" name="MSIPCMb96449719636504b8bbda314" descr="{&quot;HashCode&quot;:144665233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B1C58" w:rsidRPr="000B1C58" w:rsidRDefault="000B1C58" w:rsidP="000B1C58">
                          <w:pPr>
                            <w:spacing w:after="0"/>
                            <w:rPr>
                              <w:rFonts w:ascii="Calibri" w:hAnsi="Calibri" w:cs="Calibri"/>
                              <w:color w:val="A80000"/>
                              <w:sz w:val="28"/>
                            </w:rPr>
                          </w:pPr>
                          <w:r w:rsidRPr="000B1C58">
                            <w:rPr>
                              <w:rFonts w:ascii="Calibri" w:hAnsi="Calibri" w:cs="Calibri"/>
                              <w:color w:val="A80000"/>
                              <w:sz w:val="28"/>
                            </w:rPr>
                            <w:t>Sensitivity: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MSIPCMb96449719636504b8bbda314" o:spid="_x0000_s1026" type="#_x0000_t202" alt="{&quot;HashCode&quot;:1446652339,&quot;Height&quot;:595.0,&quot;Width&quot;:841.0,&quot;Placement&quot;:&quot;Header&quot;,&quot;Index&quot;:&quot;Primary&quot;,&quot;Section&quot;:1,&quot;Top&quot;:0.0,&quot;Left&quot;:0.0}" style="position:absolute;margin-left:0;margin-top:15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2DHQMAADgGAAAOAAAAZHJzL2Uyb0RvYy54bWysVN1P2zAQf5+0/8Hyw55WkrRpaDoCgqJu&#10;SAUqlYlnx3GItcQOtkvDEP/7zo5TPraHadqLfb473+fv7uika2r0wJTmUmQ4OggxYoLKgou7DH+/&#10;WY5mGGlDREFqKViGH5nGJ8cfPxzt2jkby0rWBVMIjAg937UZroxp50GgacUaog9kywQIS6kaYuCp&#10;7oJCkR1Yb+pgHIZJsJOqaJWkTGvgnvdCfOzslyWj5rosNTOozjDEZtyp3JnbMzg+IvM7RdqKUx8G&#10;+YcoGsIFON2bOieGoK3iv5lqOFVSy9IcUNkEsiw5ZS4HyCYK32WzqUjLXC5QHN3uy6T/n1l69bBW&#10;iBfQO4wEaaBFl5uL9eIyT5M4Tg+jNJkk0zDOZ3lekEkUY1QwTaGCT5/ut9J8+UZ0tZAF61/zKI6T&#10;ZDqeTNLPXs74XWW8dJpOD0IvuOWFqTx/FgNyPH9dE8oaJoY/gxkCQOlpr3ghCtZ5A/21Vrwh6vGN&#10;1gYgANj0epH/eyNbzwn3jlesHHwC89lCY9fqOVRo00KNTHcmO1smz9fAtB3vStXYG3qJQA4ge9wD&#10;i3UGUfspTNJxNAEZBeE4SQ5DB73g5XurtPnKZIMskWEFYTtAkYeVNuASVAcV603IJa9rh95aoF2G&#10;k8k0dB/2EvhRC6sLUYANT/WofEqjcRyejdPRMpkdjuJlPB2lh+FsFEbpWZqEcRqfL5+tvSieV7wo&#10;mFhxwYYJieK/Q6Cf1R7bbkbehKplzQubh43NZreoFXogMKo5gOCHrTQk8UoreBuOE0N2w+2yDGzT&#10;+uZYynR55zuWy+IRGqkk1BdaoVu65OB0RbRZEwVjD0xYZeYajrKWUFTpKYwqqX7+iW/1oRYgxWgH&#10;ayTD+n5LFMOovhAwp+NpHEKvkXEvIJQjUpgTeOQDV2ybhYS8YQghLEdaXVMPZKlkcwur7tS6AxER&#10;FJxm2AzkwsALBLAqKTs9dTSsmJaYldi01JoeqnzT3RLVeqAZqN+VHDYNmb/DW69rfwp5ujWy5A6M&#10;trJ9OaH29gHryXXBr1K7/16/ndbLwj/+BQAA//8DAFBLAwQUAAYACAAAACEAWcaZ7NsAAAAHAQAA&#10;DwAAAGRycy9kb3ducmV2LnhtbEyPwU7DMBBE70j8g7VI3KhNK5UqZFOhIA5IHKDlA5x4m6TE6yh2&#10;0/Tv2Z7gNFrNauZNvp19ryYaYxcY4XFhQBHXwXXcIHzv3x42oGKy7GwfmBAuFGFb3N7kNnPhzF80&#10;7VKjJIRjZhHalIZM61i35G1chIFYvEMYvU1yjo12oz1LuO/10pi19rZjaWjtQGVL9c/u5BHK8tPt&#10;L6n54NdjN1euep9qPyDe380vz6ASzenvGa74gg6FMFXhxC6qHkGGJISVEb26681KllQIT0sDusj1&#10;f/7iFwAA//8DAFBLAQItABQABgAIAAAAIQC2gziS/gAAAOEBAAATAAAAAAAAAAAAAAAAAAAAAABb&#10;Q29udGVudF9UeXBlc10ueG1sUEsBAi0AFAAGAAgAAAAhADj9If/WAAAAlAEAAAsAAAAAAAAAAAAA&#10;AAAALwEAAF9yZWxzLy5yZWxzUEsBAi0AFAAGAAgAAAAhABIaTYMdAwAAOAYAAA4AAAAAAAAAAAAA&#10;AAAALgIAAGRycy9lMm9Eb2MueG1sUEsBAi0AFAAGAAgAAAAhAFnGmezbAAAABwEAAA8AAAAAAAAA&#10;AAAAAAAAdwUAAGRycy9kb3ducmV2LnhtbFBLBQYAAAAABAAEAPMAAAB/BgAAAAA=&#10;" o:allowincell="f" filled="f" stroked="f" strokeweight=".5pt">
              <v:textbox inset="20pt,0,,0">
                <w:txbxContent>
                  <w:p w:rsidR="000B1C58" w:rsidRPr="000B1C58" w:rsidRDefault="000B1C58" w:rsidP="000B1C58">
                    <w:pPr>
                      <w:spacing w:after="0"/>
                      <w:rPr>
                        <w:rFonts w:ascii="Calibri" w:hAnsi="Calibri" w:cs="Calibri"/>
                        <w:color w:val="A80000"/>
                        <w:sz w:val="28"/>
                      </w:rPr>
                    </w:pPr>
                    <w:r w:rsidRPr="000B1C58">
                      <w:rPr>
                        <w:rFonts w:ascii="Calibri" w:hAnsi="Calibri" w:cs="Calibri"/>
                        <w:color w:val="A80000"/>
                        <w:sz w:val="28"/>
                      </w:rPr>
                      <w:t>Sensitivity: RESTRICTED</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659D7"/>
    <w:multiLevelType w:val="hybridMultilevel"/>
    <w:tmpl w:val="B9D84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E0E4E"/>
    <w:multiLevelType w:val="hybridMultilevel"/>
    <w:tmpl w:val="F118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D7FA2"/>
    <w:multiLevelType w:val="hybridMultilevel"/>
    <w:tmpl w:val="8E1E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C7"/>
    <w:rsid w:val="0000247D"/>
    <w:rsid w:val="000753D4"/>
    <w:rsid w:val="00090DA3"/>
    <w:rsid w:val="000B1C58"/>
    <w:rsid w:val="000E15D7"/>
    <w:rsid w:val="0010249D"/>
    <w:rsid w:val="00153C7D"/>
    <w:rsid w:val="001650AA"/>
    <w:rsid w:val="00170089"/>
    <w:rsid w:val="001C45A7"/>
    <w:rsid w:val="00210BC7"/>
    <w:rsid w:val="00301319"/>
    <w:rsid w:val="0031234B"/>
    <w:rsid w:val="00312FDD"/>
    <w:rsid w:val="003B253F"/>
    <w:rsid w:val="003E13D3"/>
    <w:rsid w:val="003F7BFF"/>
    <w:rsid w:val="004211B7"/>
    <w:rsid w:val="00466057"/>
    <w:rsid w:val="00467487"/>
    <w:rsid w:val="00486ED5"/>
    <w:rsid w:val="004B0BAD"/>
    <w:rsid w:val="004D4203"/>
    <w:rsid w:val="005124FD"/>
    <w:rsid w:val="005163EC"/>
    <w:rsid w:val="0053196E"/>
    <w:rsid w:val="005B6739"/>
    <w:rsid w:val="00816CA4"/>
    <w:rsid w:val="0082787B"/>
    <w:rsid w:val="00885DBB"/>
    <w:rsid w:val="008C4946"/>
    <w:rsid w:val="00981A02"/>
    <w:rsid w:val="00AC76D9"/>
    <w:rsid w:val="00B86BE4"/>
    <w:rsid w:val="00BC55B2"/>
    <w:rsid w:val="00CD5EB2"/>
    <w:rsid w:val="00D763B8"/>
    <w:rsid w:val="00D92BE4"/>
    <w:rsid w:val="00D96977"/>
    <w:rsid w:val="00DA1826"/>
    <w:rsid w:val="00E26E21"/>
    <w:rsid w:val="00E814F3"/>
    <w:rsid w:val="00EE6FFD"/>
    <w:rsid w:val="00F260BA"/>
    <w:rsid w:val="00F46109"/>
    <w:rsid w:val="00FA1180"/>
    <w:rsid w:val="00FA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2CD5FEE-3421-40FF-9BC8-5223CBF8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C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C58"/>
  </w:style>
  <w:style w:type="paragraph" w:styleId="Footer">
    <w:name w:val="footer"/>
    <w:basedOn w:val="Normal"/>
    <w:link w:val="FooterChar"/>
    <w:uiPriority w:val="99"/>
    <w:unhideWhenUsed/>
    <w:rsid w:val="000B1C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C58"/>
  </w:style>
  <w:style w:type="paragraph" w:styleId="ListParagraph">
    <w:name w:val="List Paragraph"/>
    <w:basedOn w:val="Normal"/>
    <w:uiPriority w:val="34"/>
    <w:qFormat/>
    <w:rsid w:val="00D7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Grocott</dc:creator>
  <cp:keywords/>
  <dc:description/>
  <cp:lastModifiedBy>Ian Darch</cp:lastModifiedBy>
  <cp:revision>2</cp:revision>
  <dcterms:created xsi:type="dcterms:W3CDTF">2018-12-04T09:53:00Z</dcterms:created>
  <dcterms:modified xsi:type="dcterms:W3CDTF">2018-12-04T09:53:00Z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b00f30-8635-41e4-9aca-c5b7abd1369a_Enabled">
    <vt:lpwstr>True</vt:lpwstr>
  </property>
  <property fmtid="{D5CDD505-2E9C-101B-9397-08002B2CF9AE}" pid="3" name="MSIP_Label_2ab00f30-8635-41e4-9aca-c5b7abd1369a_SiteId">
    <vt:lpwstr>07ebc6c3-7074-4387-a625-b9d918ba4a97</vt:lpwstr>
  </property>
  <property fmtid="{D5CDD505-2E9C-101B-9397-08002B2CF9AE}" pid="4" name="MSIP_Label_2ab00f30-8635-41e4-9aca-c5b7abd1369a_Owner">
    <vt:lpwstr>Joanna.Grocott@wolverhampton.gov.uk</vt:lpwstr>
  </property>
  <property fmtid="{D5CDD505-2E9C-101B-9397-08002B2CF9AE}" pid="5" name="MSIP_Label_2ab00f30-8635-41e4-9aca-c5b7abd1369a_SetDate">
    <vt:lpwstr>2018-10-23T11:22:43.0832920Z</vt:lpwstr>
  </property>
  <property fmtid="{D5CDD505-2E9C-101B-9397-08002B2CF9AE}" pid="6" name="MSIP_Label_2ab00f30-8635-41e4-9aca-c5b7abd1369a_Name">
    <vt:lpwstr>RESTRICTED</vt:lpwstr>
  </property>
  <property fmtid="{D5CDD505-2E9C-101B-9397-08002B2CF9AE}" pid="7" name="MSIP_Label_2ab00f30-8635-41e4-9aca-c5b7abd1369a_Application">
    <vt:lpwstr>Microsoft Azure Information Protection</vt:lpwstr>
  </property>
  <property fmtid="{D5CDD505-2E9C-101B-9397-08002B2CF9AE}" pid="8" name="MSIP_Label_2ab00f30-8635-41e4-9aca-c5b7abd1369a_Extended_MSFT_Method">
    <vt:lpwstr>Manual</vt:lpwstr>
  </property>
  <property fmtid="{D5CDD505-2E9C-101B-9397-08002B2CF9AE}" pid="9" name="Sensitivity">
    <vt:lpwstr>RESTRICTED</vt:lpwstr>
  </property>
</Properties>
</file>